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25" w:rsidRPr="00004C67" w:rsidRDefault="00004C67" w:rsidP="00004C67">
      <w:pPr>
        <w:jc w:val="center"/>
        <w:rPr>
          <w:rFonts w:ascii="華康儷黑 Std W7" w:eastAsia="華康儷黑 Std W7" w:hAnsi="華康儷黑 Std W7"/>
          <w:b/>
          <w:sz w:val="32"/>
          <w:szCs w:val="32"/>
          <w:u w:val="single"/>
        </w:rPr>
      </w:pPr>
      <w:r w:rsidRPr="00004C67">
        <w:rPr>
          <w:rFonts w:ascii="華康儷黑 Std W7" w:eastAsia="華康儷黑 Std W7" w:hAnsi="華康儷黑 Std W7" w:hint="eastAsia"/>
          <w:b/>
          <w:sz w:val="32"/>
          <w:szCs w:val="32"/>
          <w:u w:val="single"/>
        </w:rPr>
        <w:t>10</w:t>
      </w:r>
      <w:r w:rsidRPr="00004C67">
        <w:rPr>
          <w:rFonts w:ascii="華康儷黑 Std W7" w:eastAsia="華康儷黑 Std W7" w:hAnsi="華康儷黑 Std W7"/>
          <w:b/>
          <w:sz w:val="32"/>
          <w:szCs w:val="32"/>
          <w:u w:val="single"/>
        </w:rPr>
        <w:t>6</w:t>
      </w:r>
      <w:r w:rsidRPr="00004C67">
        <w:rPr>
          <w:rFonts w:ascii="華康儷黑 Std W7" w:eastAsia="華康儷黑 Std W7" w:hAnsi="華康儷黑 Std W7" w:hint="eastAsia"/>
          <w:b/>
          <w:sz w:val="32"/>
          <w:szCs w:val="32"/>
          <w:u w:val="single"/>
        </w:rPr>
        <w:t>學年度大學部專題研究執行辦法</w:t>
      </w:r>
    </w:p>
    <w:p w:rsidR="00004C67" w:rsidRPr="00004C67" w:rsidRDefault="00004C67" w:rsidP="00004C67">
      <w:pPr>
        <w:rPr>
          <w:rFonts w:ascii="華康儷黑 Std W7" w:eastAsia="華康儷黑 Std W7" w:hAnsi="華康儷黑 Std W7"/>
          <w:szCs w:val="24"/>
          <w:u w:val="single"/>
        </w:rPr>
      </w:pPr>
    </w:p>
    <w:p w:rsidR="00004C67" w:rsidRPr="00004C67" w:rsidRDefault="00004C67" w:rsidP="00004C67">
      <w:pPr>
        <w:pStyle w:val="a3"/>
        <w:numPr>
          <w:ilvl w:val="0"/>
          <w:numId w:val="1"/>
        </w:numPr>
        <w:spacing w:line="0" w:lineRule="atLeast"/>
        <w:ind w:leftChars="0"/>
        <w:rPr>
          <w:rFonts w:ascii="華康儷黑 Std W7" w:eastAsia="華康儷黑 Std W7" w:hAnsi="華康儷黑 Std W7"/>
          <w:b/>
          <w:szCs w:val="24"/>
        </w:rPr>
      </w:pPr>
      <w:r w:rsidRPr="00004C67">
        <w:rPr>
          <w:rFonts w:ascii="華康儷黑 Std W7" w:eastAsia="華康儷黑 Std W7" w:hAnsi="華康儷黑 Std W7" w:cs="Arial" w:hint="eastAsia"/>
          <w:b/>
          <w:bCs/>
          <w:szCs w:val="24"/>
          <w:u w:val="single"/>
        </w:rPr>
        <w:t>成績核算</w:t>
      </w:r>
      <w:r w:rsidRPr="00004C67">
        <w:rPr>
          <w:rFonts w:ascii="華康儷黑 Std W7" w:eastAsia="華康儷黑 Std W7" w:hAnsi="華康儷黑 Std W7" w:hint="eastAsia"/>
          <w:b/>
          <w:szCs w:val="24"/>
        </w:rPr>
        <w:t>：</w:t>
      </w:r>
    </w:p>
    <w:p w:rsidR="00004C67" w:rsidRPr="009F331F" w:rsidRDefault="00004C67" w:rsidP="00004C67">
      <w:pPr>
        <w:pStyle w:val="a3"/>
        <w:spacing w:line="0" w:lineRule="atLeast"/>
        <w:ind w:leftChars="0" w:left="360"/>
        <w:rPr>
          <w:rFonts w:ascii="華康儷黑 Std W7" w:eastAsia="華康儷黑 Std W7" w:hAnsi="華康儷黑 Std W7"/>
          <w:szCs w:val="24"/>
        </w:rPr>
      </w:pPr>
      <w:r>
        <w:rPr>
          <w:rFonts w:ascii="華康儷黑 Std W7" w:eastAsia="華康儷黑 Std W7" w:hAnsi="華康儷黑 Std W7" w:hint="eastAsia"/>
          <w:szCs w:val="24"/>
        </w:rPr>
        <w:t>專題</w:t>
      </w:r>
      <w:r w:rsidRPr="009F331F">
        <w:rPr>
          <w:rFonts w:ascii="華康儷黑 Std W7" w:eastAsia="華康儷黑 Std W7" w:hAnsi="華康儷黑 Std W7" w:cs="Arial"/>
          <w:szCs w:val="24"/>
        </w:rPr>
        <w:t>(</w:t>
      </w:r>
      <w:r w:rsidRPr="009F331F">
        <w:rPr>
          <w:rFonts w:ascii="華康儷黑 Std W7" w:eastAsia="華康儷黑 Std W7" w:hAnsi="華康儷黑 Std W7" w:hint="eastAsia"/>
          <w:szCs w:val="24"/>
        </w:rPr>
        <w:t>一</w:t>
      </w:r>
      <w:r w:rsidRPr="009F331F">
        <w:rPr>
          <w:rFonts w:ascii="華康儷黑 Std W7" w:eastAsia="華康儷黑 Std W7" w:hAnsi="華康儷黑 Std W7" w:cs="Arial"/>
          <w:szCs w:val="24"/>
        </w:rPr>
        <w:t>)</w:t>
      </w:r>
      <w:r w:rsidRPr="009F331F">
        <w:rPr>
          <w:rFonts w:ascii="華康儷黑 Std W7" w:eastAsia="華康儷黑 Std W7" w:hAnsi="華康儷黑 Std W7" w:hint="eastAsia"/>
          <w:szCs w:val="24"/>
        </w:rPr>
        <w:t>由指導教授評定通過與否。</w:t>
      </w:r>
    </w:p>
    <w:p w:rsidR="00004C67" w:rsidRDefault="00004C67" w:rsidP="00004C67">
      <w:pPr>
        <w:pStyle w:val="a3"/>
        <w:spacing w:line="0" w:lineRule="atLeast"/>
        <w:ind w:leftChars="0" w:left="360"/>
        <w:rPr>
          <w:rFonts w:ascii="華康儷黑 Std W7" w:eastAsia="華康儷黑 Std W7" w:hAnsi="華康儷黑 Std W7"/>
          <w:szCs w:val="24"/>
        </w:rPr>
      </w:pPr>
      <w:r w:rsidRPr="009F331F">
        <w:rPr>
          <w:rFonts w:ascii="華康儷黑 Std W7" w:eastAsia="華康儷黑 Std W7" w:hAnsi="華康儷黑 Std W7" w:hint="eastAsia"/>
          <w:szCs w:val="24"/>
        </w:rPr>
        <w:t>專題</w:t>
      </w:r>
      <w:r w:rsidRPr="009F331F">
        <w:rPr>
          <w:rFonts w:ascii="華康儷黑 Std W7" w:eastAsia="華康儷黑 Std W7" w:hAnsi="華康儷黑 Std W7" w:cs="Arial"/>
          <w:szCs w:val="24"/>
        </w:rPr>
        <w:t>(</w:t>
      </w:r>
      <w:r w:rsidRPr="009F331F">
        <w:rPr>
          <w:rFonts w:ascii="華康儷黑 Std W7" w:eastAsia="華康儷黑 Std W7" w:hAnsi="華康儷黑 Std W7" w:hint="eastAsia"/>
          <w:szCs w:val="24"/>
        </w:rPr>
        <w:t>二</w:t>
      </w:r>
      <w:r w:rsidRPr="009F331F">
        <w:rPr>
          <w:rFonts w:ascii="華康儷黑 Std W7" w:eastAsia="華康儷黑 Std W7" w:hAnsi="華康儷黑 Std W7" w:cs="Arial"/>
          <w:szCs w:val="24"/>
        </w:rPr>
        <w:t>)依據</w:t>
      </w:r>
      <w:r w:rsidRPr="009F331F">
        <w:rPr>
          <w:rFonts w:ascii="華康儷黑 Std W7" w:eastAsia="華康儷黑 Std W7" w:hAnsi="華康儷黑 Std W7" w:hint="eastAsia"/>
          <w:szCs w:val="24"/>
        </w:rPr>
        <w:t>專題</w:t>
      </w:r>
      <w:r w:rsidRPr="009F331F">
        <w:rPr>
          <w:rFonts w:ascii="華康儷黑 Std W7" w:eastAsia="華康儷黑 Std W7" w:hAnsi="華康儷黑 Std W7" w:cs="Arial"/>
          <w:szCs w:val="24"/>
        </w:rPr>
        <w:t>成果</w:t>
      </w:r>
      <w:r w:rsidRPr="009F331F">
        <w:rPr>
          <w:rFonts w:ascii="華康儷黑 Std W7" w:eastAsia="華康儷黑 Std W7" w:hAnsi="華康儷黑 Std W7" w:hint="eastAsia"/>
          <w:szCs w:val="24"/>
        </w:rPr>
        <w:t>競賽分數，六十分（含）以上為通過。</w:t>
      </w:r>
    </w:p>
    <w:p w:rsidR="00004C67" w:rsidRPr="009F331F" w:rsidRDefault="00004C67" w:rsidP="00004C67">
      <w:pPr>
        <w:pStyle w:val="a3"/>
        <w:spacing w:line="0" w:lineRule="atLeast"/>
        <w:ind w:leftChars="0" w:left="360"/>
        <w:rPr>
          <w:rFonts w:ascii="華康儷黑 Std W7" w:eastAsia="華康儷黑 Std W7" w:hAnsi="華康儷黑 Std W7"/>
          <w:szCs w:val="24"/>
        </w:rPr>
      </w:pPr>
    </w:p>
    <w:p w:rsidR="00004C67" w:rsidRPr="00004C67" w:rsidRDefault="00004C67" w:rsidP="00004C67">
      <w:pPr>
        <w:pStyle w:val="a3"/>
        <w:numPr>
          <w:ilvl w:val="0"/>
          <w:numId w:val="1"/>
        </w:numPr>
        <w:spacing w:line="0" w:lineRule="atLeast"/>
        <w:ind w:leftChars="0"/>
        <w:rPr>
          <w:rFonts w:ascii="華康儷黑 Std W7" w:eastAsia="華康儷黑 Std W7" w:hAnsi="華康儷黑 Std W7"/>
          <w:b/>
          <w:szCs w:val="24"/>
        </w:rPr>
      </w:pPr>
      <w:r w:rsidRPr="00004C67">
        <w:rPr>
          <w:rFonts w:ascii="華康儷黑 Std W7" w:eastAsia="華康儷黑 Std W7" w:hAnsi="華康儷黑 Std W7" w:cs="Arial" w:hint="eastAsia"/>
          <w:b/>
          <w:bCs/>
          <w:szCs w:val="24"/>
          <w:u w:val="single"/>
        </w:rPr>
        <w:t>分組名單及報告繳交</w:t>
      </w:r>
      <w:r w:rsidRPr="00004C67">
        <w:rPr>
          <w:rFonts w:ascii="華康儷黑 Std W7" w:eastAsia="華康儷黑 Std W7" w:hAnsi="華康儷黑 Std W7" w:hint="eastAsia"/>
          <w:b/>
          <w:szCs w:val="24"/>
        </w:rPr>
        <w:t>：</w:t>
      </w:r>
    </w:p>
    <w:p w:rsidR="00004C67" w:rsidRDefault="00004C67" w:rsidP="00004C67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華康儷黑 Std W7" w:eastAsia="華康儷黑 Std W7" w:hAnsi="華康儷黑 Std W7"/>
          <w:szCs w:val="24"/>
        </w:rPr>
      </w:pPr>
      <w:r w:rsidRPr="00004C67">
        <w:rPr>
          <w:rFonts w:ascii="華康儷黑 Std W7" w:eastAsia="華康儷黑 Std W7" w:hAnsi="華康儷黑 Std W7" w:hint="eastAsia"/>
          <w:b/>
          <w:szCs w:val="24"/>
          <w:highlight w:val="yellow"/>
        </w:rPr>
        <w:t>各組</w:t>
      </w:r>
      <w:r w:rsidR="002B2ED4">
        <w:rPr>
          <w:rFonts w:ascii="華康儷黑 Std W7" w:eastAsia="華康儷黑 Std W7" w:hAnsi="華康儷黑 Std W7" w:hint="eastAsia"/>
          <w:b/>
          <w:szCs w:val="24"/>
          <w:highlight w:val="yellow"/>
        </w:rPr>
        <w:t>2</w:t>
      </w:r>
      <w:r w:rsidR="002B2ED4">
        <w:rPr>
          <w:rFonts w:ascii="華康儷黑 Std W7" w:eastAsia="華康儷黑 Std W7" w:hAnsi="華康儷黑 Std W7"/>
          <w:b/>
          <w:szCs w:val="24"/>
          <w:highlight w:val="yellow"/>
        </w:rPr>
        <w:t>~</w:t>
      </w:r>
      <w:bookmarkStart w:id="0" w:name="_GoBack"/>
      <w:bookmarkEnd w:id="0"/>
      <w:r w:rsidRPr="00004C67">
        <w:rPr>
          <w:rFonts w:ascii="華康儷黑 Std W7" w:eastAsia="華康儷黑 Std W7" w:hAnsi="華康儷黑 Std W7" w:hint="eastAsia"/>
          <w:b/>
          <w:szCs w:val="24"/>
          <w:highlight w:val="yellow"/>
        </w:rPr>
        <w:t>4人為上限</w:t>
      </w:r>
      <w:r>
        <w:rPr>
          <w:rFonts w:ascii="華康儷黑 Std W7" w:eastAsia="華康儷黑 Std W7" w:hAnsi="華康儷黑 Std W7" w:hint="eastAsia"/>
          <w:szCs w:val="24"/>
        </w:rPr>
        <w:t>，必須在</w:t>
      </w:r>
      <w:r w:rsidRPr="00004C67">
        <w:rPr>
          <w:rFonts w:ascii="華康儷黑 Std W7" w:eastAsia="華康儷黑 Std W7" w:hAnsi="華康儷黑 Std W7" w:hint="eastAsia"/>
          <w:color w:val="FF0000"/>
          <w:szCs w:val="24"/>
        </w:rPr>
        <w:t>1</w:t>
      </w:r>
      <w:r w:rsidRPr="00004C67">
        <w:rPr>
          <w:rFonts w:ascii="華康儷黑 Std W7" w:eastAsia="華康儷黑 Std W7" w:hAnsi="華康儷黑 Std W7"/>
          <w:color w:val="FF0000"/>
          <w:szCs w:val="24"/>
        </w:rPr>
        <w:t>0/6(</w:t>
      </w:r>
      <w:r w:rsidRPr="00004C67">
        <w:rPr>
          <w:rFonts w:ascii="華康儷黑 Std W7" w:eastAsia="華康儷黑 Std W7" w:hAnsi="華康儷黑 Std W7" w:hint="eastAsia"/>
          <w:color w:val="FF0000"/>
          <w:szCs w:val="24"/>
        </w:rPr>
        <w:t>五)前</w:t>
      </w:r>
      <w:r>
        <w:rPr>
          <w:rFonts w:ascii="華康儷黑 Std W7" w:eastAsia="華康儷黑 Std W7" w:hAnsi="華康儷黑 Std W7" w:hint="eastAsia"/>
          <w:szCs w:val="24"/>
        </w:rPr>
        <w:t>繳分組名單至系辦。必要時可1人1組，由指導教授認定。</w:t>
      </w:r>
    </w:p>
    <w:p w:rsidR="00004C67" w:rsidRDefault="00004C67" w:rsidP="00004C67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華康儷黑 Std W7" w:eastAsia="華康儷黑 Std W7" w:hAnsi="華康儷黑 Std W7"/>
          <w:szCs w:val="24"/>
        </w:rPr>
      </w:pPr>
      <w:r w:rsidRPr="00004C67">
        <w:rPr>
          <w:rFonts w:ascii="華康儷黑 Std W7" w:eastAsia="華康儷黑 Std W7" w:hAnsi="華康儷黑 Std W7" w:hint="eastAsia"/>
          <w:szCs w:val="24"/>
        </w:rPr>
        <w:t>專題</w:t>
      </w:r>
      <w:r w:rsidRPr="00004C67">
        <w:rPr>
          <w:rFonts w:ascii="華康儷黑 Std W7" w:eastAsia="華康儷黑 Std W7" w:hAnsi="華康儷黑 Std W7" w:cs="Arial"/>
          <w:szCs w:val="24"/>
        </w:rPr>
        <w:t>(</w:t>
      </w:r>
      <w:r w:rsidRPr="00004C67">
        <w:rPr>
          <w:rFonts w:ascii="華康儷黑 Std W7" w:eastAsia="華康儷黑 Std W7" w:hAnsi="華康儷黑 Std W7" w:hint="eastAsia"/>
          <w:szCs w:val="24"/>
        </w:rPr>
        <w:t>一</w:t>
      </w:r>
      <w:r w:rsidRPr="00004C67">
        <w:rPr>
          <w:rFonts w:ascii="華康儷黑 Std W7" w:eastAsia="華康儷黑 Std W7" w:hAnsi="華康儷黑 Std W7" w:cs="Arial"/>
          <w:szCs w:val="24"/>
        </w:rPr>
        <w:t>)</w:t>
      </w:r>
      <w:r w:rsidRPr="00004C67">
        <w:rPr>
          <w:rFonts w:ascii="華康儷黑 Std W7" w:eastAsia="華康儷黑 Std W7" w:hAnsi="華康儷黑 Std W7" w:cs="Arial" w:hint="eastAsia"/>
          <w:color w:val="FF0000"/>
          <w:szCs w:val="24"/>
        </w:rPr>
        <w:t>12/</w:t>
      </w:r>
      <w:r>
        <w:rPr>
          <w:rFonts w:ascii="華康儷黑 Std W7" w:eastAsia="華康儷黑 Std W7" w:hAnsi="華康儷黑 Std W7" w:cs="Arial"/>
          <w:color w:val="FF0000"/>
          <w:szCs w:val="24"/>
        </w:rPr>
        <w:t>29</w:t>
      </w:r>
      <w:r>
        <w:rPr>
          <w:rFonts w:ascii="華康儷黑 Std W7" w:eastAsia="華康儷黑 Std W7" w:hAnsi="華康儷黑 Std W7" w:cs="Arial" w:hint="eastAsia"/>
          <w:color w:val="FF0000"/>
          <w:szCs w:val="24"/>
        </w:rPr>
        <w:t>(五)前</w:t>
      </w:r>
      <w:r w:rsidRPr="00004C67">
        <w:rPr>
          <w:rFonts w:ascii="華康儷黑 Std W7" w:eastAsia="華康儷黑 Std W7" w:hAnsi="華康儷黑 Std W7" w:cs="Arial"/>
          <w:szCs w:val="24"/>
        </w:rPr>
        <w:t>，繳</w:t>
      </w:r>
      <w:r w:rsidRPr="00004C67">
        <w:rPr>
          <w:rFonts w:ascii="華康儷黑 Std W7" w:eastAsia="華康儷黑 Std W7" w:hAnsi="華康儷黑 Std W7" w:hint="eastAsia"/>
          <w:szCs w:val="24"/>
        </w:rPr>
        <w:t>交專題執行期中報告書一份（格式與頁數不拘），做為指導教授評分之依據。</w:t>
      </w:r>
    </w:p>
    <w:p w:rsidR="00004C67" w:rsidRDefault="00004C67" w:rsidP="00004C67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華康儷黑 Std W7" w:eastAsia="華康儷黑 Std W7" w:hAnsi="華康儷黑 Std W7"/>
          <w:szCs w:val="24"/>
        </w:rPr>
      </w:pPr>
      <w:r w:rsidRPr="00004C67">
        <w:rPr>
          <w:rFonts w:ascii="華康儷黑 Std W7" w:eastAsia="華康儷黑 Std W7" w:hAnsi="華康儷黑 Std W7" w:hint="eastAsia"/>
          <w:szCs w:val="24"/>
        </w:rPr>
        <w:t>專題</w:t>
      </w:r>
      <w:r w:rsidRPr="00004C67">
        <w:rPr>
          <w:rFonts w:ascii="華康儷黑 Std W7" w:eastAsia="華康儷黑 Std W7" w:hAnsi="華康儷黑 Std W7" w:cs="Arial"/>
          <w:szCs w:val="24"/>
        </w:rPr>
        <w:t>(二)結束前，繳</w:t>
      </w:r>
      <w:r w:rsidRPr="00004C67">
        <w:rPr>
          <w:rFonts w:ascii="華康儷黑 Std W7" w:eastAsia="華康儷黑 Std W7" w:hAnsi="華康儷黑 Std W7" w:hint="eastAsia"/>
          <w:szCs w:val="24"/>
        </w:rPr>
        <w:t>交專題執行期末報告書一份（內容包括：前言、目的、相關背景知識、方法、成果與討論），做為專題成果競賽評分之依據。</w:t>
      </w:r>
    </w:p>
    <w:p w:rsidR="00004C67" w:rsidRPr="00004C67" w:rsidRDefault="00004C67" w:rsidP="00004C67">
      <w:pPr>
        <w:pStyle w:val="a3"/>
        <w:spacing w:line="0" w:lineRule="atLeast"/>
        <w:ind w:leftChars="0" w:left="960"/>
        <w:jc w:val="both"/>
        <w:rPr>
          <w:rFonts w:ascii="華康儷黑 Std W7" w:eastAsia="華康儷黑 Std W7" w:hAnsi="華康儷黑 Std W7"/>
          <w:szCs w:val="24"/>
        </w:rPr>
      </w:pPr>
    </w:p>
    <w:p w:rsidR="00004C67" w:rsidRPr="00004C67" w:rsidRDefault="00004C67" w:rsidP="00004C67">
      <w:pPr>
        <w:pStyle w:val="a3"/>
        <w:numPr>
          <w:ilvl w:val="0"/>
          <w:numId w:val="1"/>
        </w:numPr>
        <w:spacing w:line="0" w:lineRule="atLeast"/>
        <w:ind w:leftChars="0"/>
        <w:rPr>
          <w:rFonts w:ascii="華康儷黑 Std W7" w:eastAsia="華康儷黑 Std W7" w:hAnsi="華康儷黑 Std W7" w:cs="Arial"/>
          <w:b/>
          <w:szCs w:val="24"/>
        </w:rPr>
      </w:pPr>
      <w:r w:rsidRPr="00004C67">
        <w:rPr>
          <w:rFonts w:ascii="華康儷黑 Std W7" w:eastAsia="華康儷黑 Std W7" w:hAnsi="華康儷黑 Std W7" w:cs="Arial" w:hint="eastAsia"/>
          <w:b/>
          <w:bCs/>
          <w:szCs w:val="24"/>
          <w:u w:val="single"/>
        </w:rPr>
        <w:t>成果展覽競賽</w:t>
      </w:r>
      <w:r w:rsidRPr="00004C67">
        <w:rPr>
          <w:rFonts w:ascii="華康儷黑 Std W7" w:eastAsia="華康儷黑 Std W7" w:hAnsi="華康儷黑 Std W7" w:cs="Arial"/>
          <w:b/>
          <w:szCs w:val="24"/>
        </w:rPr>
        <w:t>：</w:t>
      </w:r>
    </w:p>
    <w:p w:rsidR="00004C67" w:rsidRDefault="00004C67" w:rsidP="00004C67">
      <w:pPr>
        <w:pStyle w:val="a3"/>
        <w:spacing w:line="0" w:lineRule="atLeast"/>
        <w:ind w:leftChars="0" w:left="360"/>
        <w:rPr>
          <w:rFonts w:ascii="華康儷黑 Std W7" w:eastAsia="華康儷黑 Std W7" w:hAnsi="華康儷黑 Std W7" w:cs="Arial"/>
          <w:szCs w:val="24"/>
        </w:rPr>
      </w:pPr>
      <w:r w:rsidRPr="009F331F">
        <w:rPr>
          <w:rFonts w:ascii="華康儷黑 Std W7" w:eastAsia="華康儷黑 Std W7" w:hAnsi="華康儷黑 Std W7" w:cs="Arial" w:hint="eastAsia"/>
          <w:szCs w:val="24"/>
        </w:rPr>
        <w:t>第二學期擇期辦理</w:t>
      </w:r>
      <w:r w:rsidRPr="009F331F">
        <w:rPr>
          <w:rFonts w:ascii="華康儷黑 Std W7" w:eastAsia="華康儷黑 Std W7" w:hAnsi="華康儷黑 Std W7" w:cs="Arial"/>
          <w:szCs w:val="24"/>
        </w:rPr>
        <w:t>專題成果</w:t>
      </w:r>
      <w:r w:rsidRPr="009F331F">
        <w:rPr>
          <w:rFonts w:ascii="華康儷黑 Std W7" w:eastAsia="華康儷黑 Std W7" w:hAnsi="華康儷黑 Std W7" w:hint="eastAsia"/>
          <w:szCs w:val="24"/>
        </w:rPr>
        <w:t>競賽</w:t>
      </w:r>
      <w:r w:rsidRPr="009F331F">
        <w:rPr>
          <w:rFonts w:ascii="華康儷黑 Std W7" w:eastAsia="華康儷黑 Std W7" w:hAnsi="華康儷黑 Std W7" w:cs="Arial"/>
          <w:szCs w:val="24"/>
        </w:rPr>
        <w:t>，</w:t>
      </w:r>
      <w:r w:rsidRPr="009F331F">
        <w:rPr>
          <w:rFonts w:ascii="華康儷黑 Std W7" w:eastAsia="華康儷黑 Std W7" w:hAnsi="華康儷黑 Std W7" w:cs="Arial" w:hint="eastAsia"/>
          <w:szCs w:val="24"/>
        </w:rPr>
        <w:t>各組須</w:t>
      </w:r>
      <w:r w:rsidRPr="009F331F">
        <w:rPr>
          <w:rFonts w:ascii="華康儷黑 Std W7" w:eastAsia="華康儷黑 Std W7" w:hAnsi="華康儷黑 Std W7" w:cs="Arial"/>
          <w:szCs w:val="24"/>
        </w:rPr>
        <w:t>上台簡報</w:t>
      </w:r>
      <w:r w:rsidRPr="009F331F">
        <w:rPr>
          <w:rFonts w:ascii="華康儷黑 Std W7" w:eastAsia="華康儷黑 Std W7" w:hAnsi="華康儷黑 Std W7" w:cs="Arial" w:hint="eastAsia"/>
          <w:szCs w:val="24"/>
        </w:rPr>
        <w:t>與</w:t>
      </w:r>
      <w:r w:rsidRPr="009F331F">
        <w:rPr>
          <w:rFonts w:ascii="華康儷黑 Std W7" w:eastAsia="華康儷黑 Std W7" w:hAnsi="華康儷黑 Std W7" w:cs="Arial"/>
          <w:szCs w:val="24"/>
        </w:rPr>
        <w:t>接受評審委員提問，評分項目包括：口頭簡報、展示內容與專題報告書。</w:t>
      </w:r>
    </w:p>
    <w:p w:rsidR="00004C67" w:rsidRPr="009F331F" w:rsidRDefault="00004C67" w:rsidP="00004C67">
      <w:pPr>
        <w:pStyle w:val="a3"/>
        <w:spacing w:line="0" w:lineRule="atLeast"/>
        <w:ind w:leftChars="0" w:left="360"/>
        <w:rPr>
          <w:rFonts w:ascii="華康儷黑 Std W7" w:eastAsia="華康儷黑 Std W7" w:hAnsi="華康儷黑 Std W7" w:cs="Arial"/>
          <w:szCs w:val="24"/>
        </w:rPr>
      </w:pPr>
      <w:r w:rsidRPr="009F331F">
        <w:rPr>
          <w:rFonts w:ascii="華康儷黑 Std W7" w:eastAsia="華康儷黑 Std W7" w:hAnsi="華康儷黑 Std W7" w:cs="Arial"/>
          <w:szCs w:val="24"/>
        </w:rPr>
        <w:t>原則上分兩組，每組各取前三名獎勵（實際情況依據當學期報名組別數目決定）。</w:t>
      </w:r>
    </w:p>
    <w:p w:rsidR="00004C67" w:rsidRPr="00004C67" w:rsidRDefault="00004C67" w:rsidP="00004C67"/>
    <w:sectPr w:rsidR="00004C67" w:rsidRPr="00004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6C" w:rsidRDefault="001D5C6C" w:rsidP="002B2ED4">
      <w:r>
        <w:separator/>
      </w:r>
    </w:p>
  </w:endnote>
  <w:endnote w:type="continuationSeparator" w:id="0">
    <w:p w:rsidR="001D5C6C" w:rsidRDefault="001D5C6C" w:rsidP="002B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黑 Std W7">
    <w:altName w:val="Microsoft JhengHei U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6C" w:rsidRDefault="001D5C6C" w:rsidP="002B2ED4">
      <w:r>
        <w:separator/>
      </w:r>
    </w:p>
  </w:footnote>
  <w:footnote w:type="continuationSeparator" w:id="0">
    <w:p w:rsidR="001D5C6C" w:rsidRDefault="001D5C6C" w:rsidP="002B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54214"/>
    <w:multiLevelType w:val="hybridMultilevel"/>
    <w:tmpl w:val="71006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F475A6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67"/>
    <w:rsid w:val="00004C67"/>
    <w:rsid w:val="001D5C6C"/>
    <w:rsid w:val="00284325"/>
    <w:rsid w:val="002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DB032"/>
  <w15:chartTrackingRefBased/>
  <w15:docId w15:val="{325ADD65-88CD-4993-989C-8032CAFA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2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E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E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NDHU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CSIE</dc:creator>
  <cp:keywords/>
  <dc:description/>
  <cp:lastModifiedBy>CSIE</cp:lastModifiedBy>
  <cp:revision>2</cp:revision>
  <dcterms:created xsi:type="dcterms:W3CDTF">2017-08-30T07:01:00Z</dcterms:created>
  <dcterms:modified xsi:type="dcterms:W3CDTF">2017-08-30T09:05:00Z</dcterms:modified>
</cp:coreProperties>
</file>