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A" w:rsidRPr="009411CD" w:rsidRDefault="005C5FEA" w:rsidP="005C5FEA">
      <w:pPr>
        <w:pStyle w:val="Web"/>
        <w:snapToGrid w:val="0"/>
        <w:jc w:val="center"/>
        <w:rPr>
          <w:rFonts w:eastAsia="標楷體"/>
          <w:b/>
          <w:sz w:val="36"/>
          <w:szCs w:val="36"/>
        </w:rPr>
      </w:pPr>
      <w:r w:rsidRPr="009411CD">
        <w:rPr>
          <w:rStyle w:val="a3"/>
          <w:rFonts w:eastAsia="標楷體"/>
          <w:sz w:val="36"/>
          <w:szCs w:val="36"/>
        </w:rPr>
        <w:t>國立東華大學資訊工程學系計畫管理費</w:t>
      </w:r>
      <w:r w:rsidRPr="009411CD">
        <w:rPr>
          <w:rFonts w:eastAsia="標楷體"/>
          <w:b/>
          <w:sz w:val="36"/>
          <w:szCs w:val="36"/>
        </w:rPr>
        <w:t>使用辦法</w:t>
      </w:r>
    </w:p>
    <w:p w:rsidR="005C5FEA" w:rsidRPr="009411CD" w:rsidRDefault="005C5FEA" w:rsidP="005C5FEA">
      <w:pPr>
        <w:spacing w:line="0" w:lineRule="atLeast"/>
        <w:jc w:val="right"/>
        <w:rPr>
          <w:rFonts w:eastAsia="標楷體"/>
          <w:sz w:val="16"/>
          <w:szCs w:val="16"/>
        </w:rPr>
      </w:pPr>
      <w:smartTag w:uri="urn:schemas-microsoft-com:office:smarttags" w:element="chsdate">
        <w:smartTagPr>
          <w:attr w:name="Year" w:val="1995"/>
          <w:attr w:name="Month" w:val="12"/>
          <w:attr w:name="Day" w:val="6"/>
          <w:attr w:name="IsLunarDate" w:val="False"/>
          <w:attr w:name="IsROCDate" w:val="False"/>
        </w:smartTagPr>
        <w:r w:rsidRPr="009411CD">
          <w:rPr>
            <w:rFonts w:eastAsia="標楷體"/>
            <w:sz w:val="16"/>
            <w:szCs w:val="16"/>
          </w:rPr>
          <w:t>95</w:t>
        </w:r>
        <w:r w:rsidRPr="009411CD">
          <w:rPr>
            <w:rFonts w:eastAsia="標楷體"/>
            <w:sz w:val="16"/>
            <w:szCs w:val="16"/>
          </w:rPr>
          <w:t>年</w:t>
        </w:r>
        <w:r w:rsidRPr="009411CD">
          <w:rPr>
            <w:rFonts w:eastAsia="標楷體"/>
            <w:sz w:val="16"/>
            <w:szCs w:val="16"/>
          </w:rPr>
          <w:t>12</w:t>
        </w:r>
        <w:r w:rsidRPr="009411CD">
          <w:rPr>
            <w:rFonts w:eastAsia="標楷體"/>
            <w:sz w:val="16"/>
            <w:szCs w:val="16"/>
          </w:rPr>
          <w:t>月</w:t>
        </w:r>
        <w:r w:rsidRPr="009411CD">
          <w:rPr>
            <w:rFonts w:eastAsia="標楷體"/>
            <w:sz w:val="16"/>
            <w:szCs w:val="16"/>
          </w:rPr>
          <w:t>6</w:t>
        </w:r>
        <w:r w:rsidRPr="009411CD">
          <w:rPr>
            <w:rFonts w:eastAsia="標楷體"/>
            <w:sz w:val="16"/>
            <w:szCs w:val="16"/>
          </w:rPr>
          <w:t>日</w:t>
        </w:r>
      </w:smartTag>
      <w:r w:rsidRPr="009411CD">
        <w:rPr>
          <w:rFonts w:eastAsia="標楷體"/>
          <w:sz w:val="16"/>
          <w:szCs w:val="16"/>
        </w:rPr>
        <w:t>系</w:t>
      </w:r>
      <w:proofErr w:type="gramStart"/>
      <w:r w:rsidRPr="009411CD">
        <w:rPr>
          <w:rFonts w:eastAsia="標楷體"/>
          <w:sz w:val="16"/>
          <w:szCs w:val="16"/>
        </w:rPr>
        <w:t>務</w:t>
      </w:r>
      <w:proofErr w:type="gramEnd"/>
      <w:r w:rsidRPr="009411CD">
        <w:rPr>
          <w:rFonts w:eastAsia="標楷體"/>
          <w:sz w:val="16"/>
          <w:szCs w:val="16"/>
        </w:rPr>
        <w:t>會議通過</w:t>
      </w:r>
    </w:p>
    <w:p w:rsidR="005C5FEA" w:rsidRPr="009411CD" w:rsidRDefault="005C5FEA" w:rsidP="005C5FEA">
      <w:pPr>
        <w:spacing w:line="0" w:lineRule="atLeast"/>
        <w:jc w:val="right"/>
        <w:rPr>
          <w:rFonts w:eastAsia="標楷體"/>
          <w:sz w:val="16"/>
          <w:szCs w:val="16"/>
        </w:rPr>
      </w:pPr>
      <w:smartTag w:uri="urn:schemas-microsoft-com:office:smarttags" w:element="chsdate">
        <w:smartTagPr>
          <w:attr w:name="IsROCDate" w:val="False"/>
          <w:attr w:name="IsLunarDate" w:val="False"/>
          <w:attr w:name="Day" w:val="21"/>
          <w:attr w:name="Month" w:val="6"/>
          <w:attr w:name="Year" w:val="1996"/>
        </w:smartTagPr>
        <w:r w:rsidRPr="009411CD">
          <w:rPr>
            <w:rFonts w:eastAsia="標楷體"/>
            <w:sz w:val="16"/>
            <w:szCs w:val="16"/>
          </w:rPr>
          <w:t>96</w:t>
        </w:r>
        <w:r w:rsidRPr="009411CD">
          <w:rPr>
            <w:rFonts w:eastAsia="標楷體"/>
            <w:sz w:val="16"/>
            <w:szCs w:val="16"/>
          </w:rPr>
          <w:t>年</w:t>
        </w:r>
        <w:r w:rsidRPr="009411CD">
          <w:rPr>
            <w:rFonts w:eastAsia="標楷體"/>
            <w:sz w:val="16"/>
            <w:szCs w:val="16"/>
          </w:rPr>
          <w:t>6</w:t>
        </w:r>
        <w:r w:rsidRPr="009411CD">
          <w:rPr>
            <w:rFonts w:eastAsia="標楷體"/>
            <w:sz w:val="16"/>
            <w:szCs w:val="16"/>
          </w:rPr>
          <w:t>月</w:t>
        </w:r>
        <w:r w:rsidRPr="009411CD">
          <w:rPr>
            <w:rFonts w:eastAsia="標楷體"/>
            <w:sz w:val="16"/>
            <w:szCs w:val="16"/>
          </w:rPr>
          <w:t>21</w:t>
        </w:r>
        <w:r w:rsidRPr="009411CD">
          <w:rPr>
            <w:rFonts w:eastAsia="標楷體"/>
            <w:sz w:val="16"/>
            <w:szCs w:val="16"/>
          </w:rPr>
          <w:t>日</w:t>
        </w:r>
      </w:smartTag>
      <w:r w:rsidRPr="009411CD">
        <w:rPr>
          <w:rFonts w:eastAsia="標楷體"/>
          <w:sz w:val="16"/>
          <w:szCs w:val="16"/>
        </w:rPr>
        <w:t>系務會議通過</w:t>
      </w:r>
    </w:p>
    <w:p w:rsidR="005C5FEA" w:rsidRPr="009411CD" w:rsidRDefault="005C5FEA" w:rsidP="005C5FEA">
      <w:pPr>
        <w:spacing w:line="0" w:lineRule="atLeast"/>
        <w:jc w:val="right"/>
        <w:rPr>
          <w:rFonts w:eastAsia="標楷體"/>
          <w:sz w:val="16"/>
          <w:szCs w:val="16"/>
        </w:rPr>
      </w:pPr>
      <w:smartTag w:uri="urn:schemas-microsoft-com:office:smarttags" w:element="chsdate">
        <w:smartTagPr>
          <w:attr w:name="IsROCDate" w:val="False"/>
          <w:attr w:name="IsLunarDate" w:val="False"/>
          <w:attr w:name="Day" w:val="10"/>
          <w:attr w:name="Month" w:val="11"/>
          <w:attr w:name="Year" w:val="1999"/>
        </w:smartTagPr>
        <w:r w:rsidRPr="009411CD">
          <w:rPr>
            <w:rFonts w:eastAsia="標楷體"/>
            <w:sz w:val="16"/>
            <w:szCs w:val="16"/>
          </w:rPr>
          <w:t>99</w:t>
        </w:r>
        <w:r w:rsidRPr="009411CD">
          <w:rPr>
            <w:rFonts w:eastAsia="標楷體"/>
            <w:sz w:val="16"/>
            <w:szCs w:val="16"/>
          </w:rPr>
          <w:t>年</w:t>
        </w:r>
        <w:r w:rsidRPr="009411CD">
          <w:rPr>
            <w:rFonts w:eastAsia="標楷體"/>
            <w:sz w:val="16"/>
            <w:szCs w:val="16"/>
          </w:rPr>
          <w:t>11</w:t>
        </w:r>
        <w:r w:rsidRPr="009411CD">
          <w:rPr>
            <w:rFonts w:eastAsia="標楷體"/>
            <w:sz w:val="16"/>
            <w:szCs w:val="16"/>
          </w:rPr>
          <w:t>月</w:t>
        </w:r>
        <w:r w:rsidRPr="009411CD">
          <w:rPr>
            <w:rFonts w:eastAsia="標楷體"/>
            <w:sz w:val="16"/>
            <w:szCs w:val="16"/>
          </w:rPr>
          <w:t>10</w:t>
        </w:r>
        <w:r w:rsidRPr="009411CD">
          <w:rPr>
            <w:rFonts w:eastAsia="標楷體"/>
            <w:sz w:val="16"/>
            <w:szCs w:val="16"/>
          </w:rPr>
          <w:t>日</w:t>
        </w:r>
      </w:smartTag>
      <w:r w:rsidRPr="009411CD">
        <w:rPr>
          <w:rFonts w:eastAsia="標楷體"/>
          <w:sz w:val="16"/>
          <w:szCs w:val="16"/>
        </w:rPr>
        <w:t>系務會議通過</w:t>
      </w:r>
    </w:p>
    <w:p w:rsidR="005C5FEA" w:rsidRPr="009411CD" w:rsidRDefault="005C5FEA" w:rsidP="005C5FEA">
      <w:pPr>
        <w:spacing w:line="0" w:lineRule="atLeast"/>
        <w:jc w:val="right"/>
        <w:rPr>
          <w:rFonts w:eastAsia="標楷體"/>
          <w:sz w:val="16"/>
          <w:szCs w:val="16"/>
        </w:rPr>
      </w:pPr>
      <w:r w:rsidRPr="009411CD">
        <w:rPr>
          <w:rFonts w:eastAsia="標楷體"/>
          <w:sz w:val="16"/>
          <w:szCs w:val="16"/>
        </w:rPr>
        <w:t>100</w:t>
      </w:r>
      <w:r w:rsidRPr="009411CD">
        <w:rPr>
          <w:rFonts w:eastAsia="標楷體"/>
          <w:sz w:val="16"/>
          <w:szCs w:val="16"/>
        </w:rPr>
        <w:t>年</w:t>
      </w:r>
      <w:r w:rsidRPr="009411CD">
        <w:rPr>
          <w:rFonts w:eastAsia="標楷體"/>
          <w:sz w:val="16"/>
          <w:szCs w:val="16"/>
        </w:rPr>
        <w:t>10</w:t>
      </w:r>
      <w:r w:rsidRPr="009411CD">
        <w:rPr>
          <w:rFonts w:eastAsia="標楷體"/>
          <w:sz w:val="16"/>
          <w:szCs w:val="16"/>
        </w:rPr>
        <w:t>月</w:t>
      </w:r>
      <w:r w:rsidRPr="009411CD">
        <w:rPr>
          <w:rFonts w:eastAsia="標楷體"/>
          <w:sz w:val="16"/>
          <w:szCs w:val="16"/>
        </w:rPr>
        <w:t>11</w:t>
      </w:r>
      <w:r w:rsidRPr="009411CD">
        <w:rPr>
          <w:rFonts w:eastAsia="標楷體"/>
          <w:sz w:val="16"/>
          <w:szCs w:val="16"/>
        </w:rPr>
        <w:t>日系務會議通過</w:t>
      </w:r>
    </w:p>
    <w:p w:rsidR="005C5FEA" w:rsidRDefault="005C5FEA" w:rsidP="005C5FEA">
      <w:pPr>
        <w:spacing w:line="0" w:lineRule="atLeast"/>
        <w:jc w:val="right"/>
        <w:rPr>
          <w:rFonts w:eastAsia="標楷體"/>
          <w:sz w:val="16"/>
          <w:szCs w:val="16"/>
        </w:rPr>
      </w:pPr>
      <w:r>
        <w:rPr>
          <w:rFonts w:eastAsia="標楷體" w:hint="eastAsia"/>
          <w:sz w:val="16"/>
          <w:szCs w:val="16"/>
        </w:rPr>
        <w:t>104</w:t>
      </w:r>
      <w:r>
        <w:rPr>
          <w:rFonts w:eastAsia="標楷體" w:hint="eastAsia"/>
          <w:sz w:val="16"/>
          <w:szCs w:val="16"/>
        </w:rPr>
        <w:t>年</w:t>
      </w:r>
      <w:r>
        <w:rPr>
          <w:rFonts w:eastAsia="標楷體" w:hint="eastAsia"/>
          <w:sz w:val="16"/>
          <w:szCs w:val="16"/>
        </w:rPr>
        <w:t>12</w:t>
      </w:r>
      <w:r>
        <w:rPr>
          <w:rFonts w:eastAsia="標楷體" w:hint="eastAsia"/>
          <w:sz w:val="16"/>
          <w:szCs w:val="16"/>
        </w:rPr>
        <w:t>月</w:t>
      </w:r>
      <w:r>
        <w:rPr>
          <w:rFonts w:eastAsia="標楷體" w:hint="eastAsia"/>
          <w:sz w:val="16"/>
          <w:szCs w:val="16"/>
        </w:rPr>
        <w:t>22</w:t>
      </w:r>
      <w:r>
        <w:rPr>
          <w:rFonts w:eastAsia="標楷體" w:hint="eastAsia"/>
          <w:sz w:val="16"/>
          <w:szCs w:val="16"/>
        </w:rPr>
        <w:t>日</w:t>
      </w:r>
      <w:r>
        <w:rPr>
          <w:rFonts w:eastAsia="標楷體"/>
          <w:sz w:val="16"/>
          <w:szCs w:val="16"/>
        </w:rPr>
        <w:t>經費</w:t>
      </w:r>
      <w:r>
        <w:rPr>
          <w:rFonts w:eastAsia="標楷體" w:hint="eastAsia"/>
          <w:sz w:val="16"/>
          <w:szCs w:val="16"/>
        </w:rPr>
        <w:t>稽核委</w:t>
      </w:r>
      <w:r>
        <w:rPr>
          <w:rFonts w:eastAsia="標楷體"/>
          <w:sz w:val="16"/>
          <w:szCs w:val="16"/>
        </w:rPr>
        <w:t>員會議修訂</w:t>
      </w:r>
    </w:p>
    <w:p w:rsidR="005C5FEA" w:rsidRPr="005E7DA7" w:rsidRDefault="005C5FEA" w:rsidP="005C5FEA">
      <w:pPr>
        <w:spacing w:line="0" w:lineRule="atLeast"/>
        <w:jc w:val="right"/>
        <w:rPr>
          <w:rFonts w:eastAsia="標楷體"/>
          <w:sz w:val="16"/>
          <w:szCs w:val="16"/>
        </w:rPr>
      </w:pPr>
      <w:r>
        <w:rPr>
          <w:rFonts w:eastAsia="標楷體" w:hint="eastAsia"/>
          <w:sz w:val="16"/>
          <w:szCs w:val="16"/>
        </w:rPr>
        <w:t>10</w:t>
      </w:r>
      <w:r>
        <w:rPr>
          <w:rFonts w:eastAsia="標楷體"/>
          <w:sz w:val="16"/>
          <w:szCs w:val="16"/>
        </w:rPr>
        <w:t>5</w:t>
      </w:r>
      <w:r>
        <w:rPr>
          <w:rFonts w:eastAsia="標楷體" w:hint="eastAsia"/>
          <w:sz w:val="16"/>
          <w:szCs w:val="16"/>
        </w:rPr>
        <w:t>年</w:t>
      </w:r>
      <w:r>
        <w:rPr>
          <w:rFonts w:eastAsia="標楷體" w:hint="eastAsia"/>
          <w:sz w:val="16"/>
          <w:szCs w:val="16"/>
        </w:rPr>
        <w:t>1</w:t>
      </w:r>
      <w:r>
        <w:rPr>
          <w:rFonts w:eastAsia="標楷體"/>
          <w:sz w:val="16"/>
          <w:szCs w:val="16"/>
        </w:rPr>
        <w:t>1</w:t>
      </w:r>
      <w:r>
        <w:rPr>
          <w:rFonts w:eastAsia="標楷體" w:hint="eastAsia"/>
          <w:sz w:val="16"/>
          <w:szCs w:val="16"/>
        </w:rPr>
        <w:t>月</w:t>
      </w:r>
      <w:r>
        <w:rPr>
          <w:rFonts w:eastAsia="標楷體"/>
          <w:sz w:val="16"/>
          <w:szCs w:val="16"/>
        </w:rPr>
        <w:t>25</w:t>
      </w:r>
      <w:r>
        <w:rPr>
          <w:rFonts w:eastAsia="標楷體" w:hint="eastAsia"/>
          <w:sz w:val="16"/>
          <w:szCs w:val="16"/>
        </w:rPr>
        <w:t>日</w:t>
      </w:r>
      <w:r>
        <w:rPr>
          <w:rFonts w:eastAsia="標楷體"/>
          <w:sz w:val="16"/>
          <w:szCs w:val="16"/>
        </w:rPr>
        <w:t>經費</w:t>
      </w:r>
      <w:r>
        <w:rPr>
          <w:rFonts w:eastAsia="標楷體" w:hint="eastAsia"/>
          <w:sz w:val="16"/>
          <w:szCs w:val="16"/>
        </w:rPr>
        <w:t>稽核委</w:t>
      </w:r>
      <w:r>
        <w:rPr>
          <w:rFonts w:eastAsia="標楷體"/>
          <w:sz w:val="16"/>
          <w:szCs w:val="16"/>
        </w:rPr>
        <w:t>員會議修訂</w:t>
      </w:r>
    </w:p>
    <w:p w:rsidR="005C5FEA" w:rsidRPr="009411CD" w:rsidRDefault="005C5FEA" w:rsidP="005C5FEA">
      <w:pPr>
        <w:spacing w:line="0" w:lineRule="atLeast"/>
        <w:jc w:val="right"/>
        <w:rPr>
          <w:rFonts w:eastAsia="標楷體"/>
          <w:sz w:val="16"/>
          <w:szCs w:val="16"/>
        </w:rPr>
      </w:pPr>
    </w:p>
    <w:p w:rsidR="005C5FEA" w:rsidRPr="009411CD" w:rsidRDefault="005C5FEA" w:rsidP="005C5FEA">
      <w:pPr>
        <w:pStyle w:val="Web"/>
        <w:widowControl/>
        <w:numPr>
          <w:ilvl w:val="0"/>
          <w:numId w:val="1"/>
        </w:numPr>
        <w:tabs>
          <w:tab w:val="clear" w:pos="360"/>
          <w:tab w:val="num" w:pos="540"/>
          <w:tab w:val="num" w:pos="3054"/>
        </w:tabs>
        <w:ind w:left="539" w:hanging="539"/>
        <w:jc w:val="both"/>
        <w:rPr>
          <w:rFonts w:eastAsia="標楷體"/>
        </w:rPr>
      </w:pPr>
      <w:r w:rsidRPr="009411CD">
        <w:rPr>
          <w:rFonts w:eastAsia="標楷體"/>
        </w:rPr>
        <w:t>為促進</w:t>
      </w:r>
      <w:r w:rsidRPr="009411CD">
        <w:rPr>
          <w:rFonts w:eastAsia="標楷體"/>
          <w:color w:val="000000"/>
        </w:rPr>
        <w:t>計畫</w:t>
      </w:r>
      <w:r w:rsidRPr="009411CD">
        <w:rPr>
          <w:rFonts w:eastAsia="標楷體"/>
        </w:rPr>
        <w:t>管理費</w:t>
      </w:r>
      <w:r w:rsidRPr="009411CD">
        <w:rPr>
          <w:rFonts w:eastAsia="標楷體"/>
          <w:color w:val="000000"/>
        </w:rPr>
        <w:t>(</w:t>
      </w:r>
      <w:r w:rsidRPr="009411CD">
        <w:rPr>
          <w:rFonts w:eastAsia="標楷體"/>
          <w:color w:val="000000"/>
        </w:rPr>
        <w:t>以下簡稱管理費</w:t>
      </w:r>
      <w:r w:rsidRPr="009411CD">
        <w:rPr>
          <w:rFonts w:eastAsia="標楷體"/>
          <w:color w:val="000000"/>
        </w:rPr>
        <w:t>)</w:t>
      </w:r>
      <w:r w:rsidRPr="009411CD">
        <w:rPr>
          <w:rFonts w:eastAsia="標楷體"/>
        </w:rPr>
        <w:t>的合理運用，以推展學術研究，加強系務發展，特訂定本辦法。</w:t>
      </w:r>
    </w:p>
    <w:p w:rsidR="005C5FEA" w:rsidRPr="009411CD" w:rsidRDefault="005C5FEA" w:rsidP="005C5FEA">
      <w:pPr>
        <w:pStyle w:val="Web"/>
        <w:widowControl/>
        <w:numPr>
          <w:ilvl w:val="0"/>
          <w:numId w:val="1"/>
        </w:numPr>
        <w:tabs>
          <w:tab w:val="clear" w:pos="360"/>
          <w:tab w:val="num" w:pos="540"/>
          <w:tab w:val="num" w:pos="3054"/>
        </w:tabs>
        <w:ind w:left="540" w:hanging="540"/>
        <w:jc w:val="both"/>
        <w:rPr>
          <w:rFonts w:eastAsia="標楷體"/>
        </w:rPr>
      </w:pPr>
      <w:r w:rsidRPr="009411CD">
        <w:rPr>
          <w:rFonts w:eastAsia="標楷體"/>
          <w:color w:val="000000"/>
        </w:rPr>
        <w:t>本辦法所稱之管理費，為計畫主持人以國立東華大學資訊工程學系為名義所申請之各類型計劃經費中，依相關法規所提撥之行政管理費或類似之經費。</w:t>
      </w:r>
    </w:p>
    <w:p w:rsidR="005C5FEA" w:rsidRPr="009411CD" w:rsidRDefault="005C5FEA" w:rsidP="005C5FEA">
      <w:pPr>
        <w:pStyle w:val="Web"/>
        <w:widowControl/>
        <w:numPr>
          <w:ilvl w:val="0"/>
          <w:numId w:val="1"/>
        </w:numPr>
        <w:tabs>
          <w:tab w:val="clear" w:pos="360"/>
          <w:tab w:val="num" w:pos="540"/>
          <w:tab w:val="num" w:pos="3054"/>
        </w:tabs>
        <w:ind w:left="539" w:hanging="539"/>
        <w:jc w:val="both"/>
        <w:rPr>
          <w:rFonts w:eastAsia="標楷體"/>
          <w:color w:val="000000"/>
        </w:rPr>
      </w:pPr>
      <w:r w:rsidRPr="009411CD">
        <w:rPr>
          <w:rFonts w:eastAsia="標楷體"/>
          <w:color w:val="000000"/>
        </w:rPr>
        <w:t>管理費應成立專帳，由</w:t>
      </w:r>
      <w:r w:rsidRPr="009411CD">
        <w:rPr>
          <w:rFonts w:eastAsia="標楷體"/>
        </w:rPr>
        <w:t>「</w:t>
      </w:r>
      <w:r w:rsidRPr="009411CD">
        <w:rPr>
          <w:rFonts w:eastAsia="標楷體"/>
          <w:color w:val="000000"/>
        </w:rPr>
        <w:t>經費稽核委員會」統籌辦理其分配、運用及收支核銷。</w:t>
      </w:r>
    </w:p>
    <w:p w:rsidR="005C5FEA" w:rsidRPr="009411CD" w:rsidRDefault="005C5FEA" w:rsidP="005C5FEA">
      <w:pPr>
        <w:pStyle w:val="Web"/>
        <w:widowControl/>
        <w:numPr>
          <w:ilvl w:val="0"/>
          <w:numId w:val="1"/>
        </w:numPr>
        <w:tabs>
          <w:tab w:val="clear" w:pos="360"/>
          <w:tab w:val="num" w:pos="540"/>
          <w:tab w:val="num" w:pos="3054"/>
        </w:tabs>
        <w:ind w:left="540" w:hanging="540"/>
        <w:jc w:val="both"/>
        <w:rPr>
          <w:rFonts w:eastAsia="標楷體"/>
          <w:color w:val="000000"/>
        </w:rPr>
      </w:pPr>
      <w:r w:rsidRPr="009411CD">
        <w:rPr>
          <w:rFonts w:eastAsia="標楷體"/>
          <w:color w:val="000000"/>
        </w:rPr>
        <w:t>管理費之運用，除相關法規或計畫契約另有規定者外，應符合下列原則：</w:t>
      </w:r>
    </w:p>
    <w:p w:rsidR="005C5FEA" w:rsidRPr="009411CD" w:rsidRDefault="005C5FEA" w:rsidP="005C5FEA">
      <w:pPr>
        <w:numPr>
          <w:ilvl w:val="1"/>
          <w:numId w:val="1"/>
        </w:numPr>
        <w:tabs>
          <w:tab w:val="clear" w:pos="960"/>
          <w:tab w:val="num" w:pos="993"/>
        </w:tabs>
        <w:ind w:left="993" w:hanging="284"/>
        <w:jc w:val="both"/>
        <w:rPr>
          <w:rFonts w:eastAsia="標楷體"/>
        </w:rPr>
      </w:pPr>
      <w:r w:rsidRPr="009411CD">
        <w:rPr>
          <w:rFonts w:eastAsia="標楷體"/>
          <w:color w:val="000000"/>
        </w:rPr>
        <w:t>由系</w:t>
      </w:r>
      <w:r w:rsidRPr="009411CD">
        <w:rPr>
          <w:rFonts w:eastAsia="標楷體"/>
        </w:rPr>
        <w:t>統籌運用者，除支付水電、維護等必要之一般行政費用外，應運用於推展學術研究或其他有助系務發展之事項。</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rPr>
        <w:t>分配予</w:t>
      </w:r>
      <w:r w:rsidRPr="009411CD">
        <w:rPr>
          <w:rFonts w:eastAsia="標楷體"/>
          <w:color w:val="000000"/>
        </w:rPr>
        <w:t>計畫主持人</w:t>
      </w:r>
      <w:r w:rsidRPr="009411CD">
        <w:rPr>
          <w:rFonts w:eastAsia="標楷體"/>
        </w:rPr>
        <w:t>者，應運用於計劃之執行或學術研究相關事項</w:t>
      </w:r>
      <w:r w:rsidRPr="009411CD">
        <w:rPr>
          <w:rFonts w:eastAsia="標楷體"/>
          <w:color w:val="000000"/>
        </w:rPr>
        <w:t>。</w:t>
      </w:r>
    </w:p>
    <w:p w:rsidR="005C5FEA" w:rsidRPr="009411CD" w:rsidRDefault="005C5FEA" w:rsidP="005C5FEA">
      <w:pPr>
        <w:pStyle w:val="Web"/>
        <w:widowControl/>
        <w:numPr>
          <w:ilvl w:val="0"/>
          <w:numId w:val="1"/>
        </w:numPr>
        <w:tabs>
          <w:tab w:val="clear" w:pos="360"/>
          <w:tab w:val="num" w:pos="540"/>
          <w:tab w:val="num" w:pos="3054"/>
        </w:tabs>
        <w:ind w:left="540" w:hanging="540"/>
        <w:jc w:val="both"/>
        <w:rPr>
          <w:rFonts w:eastAsia="標楷體"/>
          <w:color w:val="000000"/>
        </w:rPr>
      </w:pPr>
      <w:r w:rsidRPr="009411CD">
        <w:rPr>
          <w:rFonts w:eastAsia="標楷體"/>
          <w:color w:val="000000"/>
        </w:rPr>
        <w:t>管理費之運用，其範圍如下：</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水電費用、儀器設備維護、消耗性器材之補充及業務維持等。</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購置共同使用之儀器設備。</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對有發展潛力之計畫籌備費用或初期周轉之支援。</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本系</w:t>
      </w:r>
      <w:r w:rsidRPr="009411CD">
        <w:rPr>
          <w:rFonts w:eastAsia="標楷體"/>
          <w:color w:val="000000"/>
        </w:rPr>
        <w:t>(</w:t>
      </w:r>
      <w:r w:rsidRPr="009411CD">
        <w:rPr>
          <w:rFonts w:eastAsia="標楷體"/>
          <w:color w:val="000000"/>
        </w:rPr>
        <w:t>所</w:t>
      </w:r>
      <w:r w:rsidRPr="009411CD">
        <w:rPr>
          <w:rFonts w:eastAsia="標楷體"/>
          <w:color w:val="000000"/>
        </w:rPr>
        <w:t>)</w:t>
      </w:r>
      <w:r w:rsidRPr="009411CD">
        <w:rPr>
          <w:rFonts w:eastAsia="標楷體"/>
          <w:color w:val="000000"/>
        </w:rPr>
        <w:t>規劃之重點研究方向發展之支援。</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本系</w:t>
      </w:r>
      <w:r w:rsidRPr="009411CD">
        <w:rPr>
          <w:rFonts w:eastAsia="標楷體"/>
          <w:color w:val="000000"/>
        </w:rPr>
        <w:t>(</w:t>
      </w:r>
      <w:r w:rsidRPr="009411CD">
        <w:rPr>
          <w:rFonts w:eastAsia="標楷體"/>
          <w:color w:val="000000"/>
        </w:rPr>
        <w:t>所</w:t>
      </w:r>
      <w:r w:rsidRPr="009411CD">
        <w:rPr>
          <w:rFonts w:eastAsia="標楷體"/>
          <w:color w:val="000000"/>
        </w:rPr>
        <w:t>)</w:t>
      </w:r>
      <w:r w:rsidRPr="009411CD">
        <w:rPr>
          <w:rFonts w:eastAsia="標楷體"/>
          <w:color w:val="000000"/>
        </w:rPr>
        <w:t>師生參與學術或相關競賽活動之支援。</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其他本系</w:t>
      </w:r>
      <w:r w:rsidRPr="009411CD">
        <w:rPr>
          <w:rFonts w:eastAsia="標楷體"/>
          <w:color w:val="000000"/>
        </w:rPr>
        <w:t>(</w:t>
      </w:r>
      <w:r w:rsidRPr="009411CD">
        <w:rPr>
          <w:rFonts w:eastAsia="標楷體"/>
          <w:color w:val="000000"/>
        </w:rPr>
        <w:t>所</w:t>
      </w:r>
      <w:r w:rsidRPr="009411CD">
        <w:rPr>
          <w:rFonts w:eastAsia="標楷體"/>
          <w:color w:val="000000"/>
        </w:rPr>
        <w:t>)</w:t>
      </w:r>
      <w:r w:rsidRPr="009411CD">
        <w:rPr>
          <w:rFonts w:eastAsia="標楷體"/>
          <w:color w:val="000000"/>
        </w:rPr>
        <w:t>激勵員工生士氣及推動學術研究有關事項之支援。</w:t>
      </w:r>
    </w:p>
    <w:p w:rsidR="005C5FEA" w:rsidRPr="009411CD" w:rsidRDefault="005C5FEA" w:rsidP="005C5FEA">
      <w:pPr>
        <w:pStyle w:val="Web"/>
        <w:widowControl/>
        <w:numPr>
          <w:ilvl w:val="0"/>
          <w:numId w:val="1"/>
        </w:numPr>
        <w:tabs>
          <w:tab w:val="clear" w:pos="360"/>
          <w:tab w:val="num" w:pos="540"/>
          <w:tab w:val="num" w:pos="3054"/>
        </w:tabs>
        <w:ind w:left="540" w:hanging="540"/>
        <w:jc w:val="both"/>
        <w:rPr>
          <w:rFonts w:eastAsia="標楷體"/>
        </w:rPr>
      </w:pPr>
      <w:r w:rsidRPr="009411CD">
        <w:rPr>
          <w:rFonts w:eastAsia="標楷體"/>
        </w:rPr>
        <w:t>管理費之收支與核銷，按下列規定辦理：</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每一年度各計畫案審核通過後，其管理費由本系統收，並由「經費稽核委員會」製備分配明細表，並訂定學期補助上限，經系務會議通過後，分送計畫主持人及相關人員。</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管理費之動支，除第五條第一款之用途外，均應事先填寫申請表，由「經費稽核委員會」審查，經系主任核准後使用。各項經費依本校會計程序辦理支用與核銷。</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color w:val="000000"/>
        </w:rPr>
        <w:t>計畫主持人轉任其他單位時，已提撥之管理費仍由本系使用。</w:t>
      </w:r>
    </w:p>
    <w:p w:rsidR="005C5FEA" w:rsidRPr="009411CD" w:rsidRDefault="005C5FEA" w:rsidP="005C5FEA">
      <w:pPr>
        <w:pStyle w:val="Web"/>
        <w:widowControl/>
        <w:numPr>
          <w:ilvl w:val="0"/>
          <w:numId w:val="1"/>
        </w:numPr>
        <w:tabs>
          <w:tab w:val="clear" w:pos="360"/>
          <w:tab w:val="num" w:pos="540"/>
          <w:tab w:val="num" w:pos="3054"/>
        </w:tabs>
        <w:ind w:left="539" w:hanging="539"/>
        <w:jc w:val="both"/>
        <w:rPr>
          <w:rFonts w:eastAsia="標楷體"/>
        </w:rPr>
      </w:pPr>
      <w:r w:rsidRPr="009411CD">
        <w:rPr>
          <w:rFonts w:eastAsia="標楷體"/>
        </w:rPr>
        <w:t>獎勵學生之學術及競賽活動：</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rPr>
        <w:t>學術期刊論文發表</w:t>
      </w:r>
    </w:p>
    <w:p w:rsidR="005C5FEA" w:rsidRPr="009411CD" w:rsidRDefault="005C5FEA" w:rsidP="005C5FEA">
      <w:pPr>
        <w:numPr>
          <w:ilvl w:val="1"/>
          <w:numId w:val="1"/>
        </w:numPr>
        <w:tabs>
          <w:tab w:val="clear" w:pos="960"/>
          <w:tab w:val="num" w:pos="993"/>
        </w:tabs>
        <w:ind w:left="993" w:hanging="284"/>
        <w:jc w:val="both"/>
        <w:rPr>
          <w:rFonts w:eastAsia="標楷體"/>
          <w:color w:val="000000"/>
        </w:rPr>
      </w:pPr>
      <w:r w:rsidRPr="009411CD">
        <w:rPr>
          <w:rFonts w:eastAsia="標楷體"/>
        </w:rPr>
        <w:t>國內外公開</w:t>
      </w:r>
      <w:r w:rsidRPr="009411CD">
        <w:rPr>
          <w:rFonts w:eastAsia="標楷體"/>
          <w:color w:val="000000"/>
        </w:rPr>
        <w:t>競賽</w:t>
      </w:r>
      <w:r w:rsidRPr="009411CD">
        <w:rPr>
          <w:rFonts w:eastAsia="標楷體"/>
        </w:rPr>
        <w:t>活動</w:t>
      </w:r>
      <w:r w:rsidRPr="005E7DA7">
        <w:rPr>
          <w:rFonts w:eastAsia="標楷體" w:hint="eastAsia"/>
        </w:rPr>
        <w:t>表</w:t>
      </w:r>
      <w:r w:rsidRPr="005E7DA7">
        <w:rPr>
          <w:rFonts w:eastAsia="標楷體"/>
        </w:rPr>
        <w:t>現優異</w:t>
      </w:r>
      <w:r w:rsidRPr="00583ECD">
        <w:rPr>
          <w:rFonts w:eastAsia="標楷體" w:hint="eastAsia"/>
        </w:rPr>
        <w:t>。</w:t>
      </w:r>
      <w:bookmarkStart w:id="0" w:name="_GoBack"/>
      <w:bookmarkEnd w:id="0"/>
    </w:p>
    <w:p w:rsidR="005C5FEA" w:rsidRPr="009411CD" w:rsidRDefault="005C5FEA" w:rsidP="005C5FEA">
      <w:pPr>
        <w:pStyle w:val="Web"/>
        <w:widowControl/>
        <w:numPr>
          <w:ilvl w:val="0"/>
          <w:numId w:val="1"/>
        </w:numPr>
        <w:tabs>
          <w:tab w:val="clear" w:pos="360"/>
          <w:tab w:val="num" w:pos="540"/>
          <w:tab w:val="num" w:pos="3054"/>
        </w:tabs>
        <w:ind w:left="539" w:hanging="539"/>
        <w:jc w:val="both"/>
        <w:rPr>
          <w:rFonts w:eastAsia="標楷體"/>
        </w:rPr>
      </w:pPr>
      <w:r w:rsidRPr="00D9005F">
        <w:rPr>
          <w:rFonts w:eastAsia="標楷體"/>
        </w:rPr>
        <w:t>學生申請條件及獎勵金額</w:t>
      </w:r>
      <w:r w:rsidRPr="009411CD">
        <w:rPr>
          <w:rFonts w:eastAsia="標楷體"/>
        </w:rPr>
        <w:t>：</w:t>
      </w:r>
    </w:p>
    <w:p w:rsidR="005C5FEA" w:rsidRPr="009411CD" w:rsidRDefault="005C5FEA" w:rsidP="005C5FEA">
      <w:pPr>
        <w:numPr>
          <w:ilvl w:val="1"/>
          <w:numId w:val="1"/>
        </w:numPr>
        <w:tabs>
          <w:tab w:val="clear" w:pos="960"/>
          <w:tab w:val="num" w:pos="993"/>
        </w:tabs>
        <w:ind w:left="993" w:hanging="284"/>
        <w:jc w:val="both"/>
        <w:rPr>
          <w:rFonts w:eastAsia="標楷體"/>
        </w:rPr>
      </w:pPr>
      <w:r w:rsidRPr="009411CD">
        <w:rPr>
          <w:rFonts w:eastAsia="標楷體"/>
        </w:rPr>
        <w:t>本項獎勵僅限本系（所）在學學生，</w:t>
      </w:r>
      <w:r w:rsidRPr="009411CD">
        <w:rPr>
          <w:rFonts w:eastAsia="標楷體"/>
          <w:kern w:val="0"/>
        </w:rPr>
        <w:t>以國立東華大學資訊工程學系名義參與相關活動，且未獲得其他補助者，始得申請。</w:t>
      </w:r>
    </w:p>
    <w:p w:rsidR="005C5FEA" w:rsidRPr="009411CD" w:rsidRDefault="005C5FEA" w:rsidP="005C5FEA">
      <w:pPr>
        <w:numPr>
          <w:ilvl w:val="1"/>
          <w:numId w:val="1"/>
        </w:numPr>
        <w:tabs>
          <w:tab w:val="clear" w:pos="960"/>
          <w:tab w:val="num" w:pos="993"/>
        </w:tabs>
        <w:ind w:left="993" w:hanging="284"/>
        <w:jc w:val="both"/>
        <w:rPr>
          <w:rFonts w:eastAsia="標楷體"/>
        </w:rPr>
      </w:pPr>
      <w:r w:rsidRPr="009411CD">
        <w:rPr>
          <w:rFonts w:eastAsia="標楷體"/>
        </w:rPr>
        <w:t>具</w:t>
      </w:r>
      <w:r w:rsidRPr="009411CD">
        <w:rPr>
          <w:rFonts w:eastAsia="標楷體"/>
        </w:rPr>
        <w:t>SCI/SSCI</w:t>
      </w:r>
      <w:r w:rsidRPr="009411CD">
        <w:rPr>
          <w:rFonts w:eastAsia="標楷體"/>
        </w:rPr>
        <w:t>學術期刊正式接受函之</w:t>
      </w:r>
      <w:r w:rsidRPr="009411CD">
        <w:rPr>
          <w:rFonts w:eastAsia="標楷體"/>
          <w:color w:val="000000"/>
        </w:rPr>
        <w:t>論</w:t>
      </w:r>
      <w:r w:rsidRPr="009411CD">
        <w:rPr>
          <w:rFonts w:eastAsia="標楷體"/>
        </w:rPr>
        <w:t>文，並為本系在學第一作者</w:t>
      </w:r>
      <w:r w:rsidRPr="009411CD">
        <w:rPr>
          <w:rFonts w:eastAsia="標楷體"/>
        </w:rPr>
        <w:t>(</w:t>
      </w:r>
      <w:r w:rsidRPr="009411CD">
        <w:rPr>
          <w:rFonts w:eastAsia="標楷體"/>
        </w:rPr>
        <w:t>指導教授除外</w:t>
      </w:r>
      <w:r w:rsidRPr="009411CD">
        <w:rPr>
          <w:rFonts w:eastAsia="標楷體"/>
        </w:rPr>
        <w:t>)</w:t>
      </w:r>
      <w:r w:rsidRPr="009411CD">
        <w:rPr>
          <w:rFonts w:eastAsia="標楷體"/>
        </w:rPr>
        <w:t>，依「國立東華大學學術研究績效獎勵準則」資訊相關領域之期刊等級</w:t>
      </w:r>
      <w:r w:rsidRPr="009411CD">
        <w:rPr>
          <w:rFonts w:eastAsia="標楷體"/>
        </w:rPr>
        <w:t>A</w:t>
      </w:r>
      <w:r w:rsidRPr="009411CD">
        <w:rPr>
          <w:rFonts w:eastAsia="標楷體"/>
        </w:rPr>
        <w:t>、</w:t>
      </w:r>
      <w:r w:rsidRPr="009411CD">
        <w:rPr>
          <w:rFonts w:eastAsia="標楷體"/>
        </w:rPr>
        <w:t>B</w:t>
      </w:r>
      <w:r w:rsidRPr="009411CD">
        <w:rPr>
          <w:rFonts w:eastAsia="標楷體"/>
        </w:rPr>
        <w:t>、</w:t>
      </w:r>
      <w:r w:rsidRPr="009411CD">
        <w:rPr>
          <w:rFonts w:eastAsia="標楷體"/>
        </w:rPr>
        <w:t>C</w:t>
      </w:r>
      <w:r w:rsidRPr="009411CD">
        <w:rPr>
          <w:rFonts w:eastAsia="標楷體"/>
        </w:rPr>
        <w:t>、</w:t>
      </w:r>
      <w:r w:rsidRPr="009411CD">
        <w:rPr>
          <w:rFonts w:eastAsia="標楷體"/>
        </w:rPr>
        <w:t>D</w:t>
      </w:r>
      <w:r w:rsidRPr="009411CD">
        <w:rPr>
          <w:rFonts w:eastAsia="標楷體"/>
        </w:rPr>
        <w:t>與</w:t>
      </w:r>
      <w:r w:rsidRPr="009411CD">
        <w:rPr>
          <w:rFonts w:eastAsia="標楷體"/>
        </w:rPr>
        <w:t>E</w:t>
      </w:r>
      <w:r w:rsidRPr="009411CD">
        <w:rPr>
          <w:rFonts w:eastAsia="標楷體"/>
        </w:rPr>
        <w:t>，每篇依序獎勵獎助學金</w:t>
      </w:r>
      <w:r w:rsidRPr="009411CD">
        <w:rPr>
          <w:rFonts w:eastAsia="標楷體"/>
        </w:rPr>
        <w:t>5</w:t>
      </w:r>
      <w:r w:rsidRPr="009411CD">
        <w:rPr>
          <w:rFonts w:eastAsia="標楷體"/>
        </w:rPr>
        <w:t>、</w:t>
      </w:r>
      <w:r w:rsidRPr="009411CD">
        <w:rPr>
          <w:rFonts w:eastAsia="標楷體"/>
        </w:rPr>
        <w:t>4</w:t>
      </w:r>
      <w:r w:rsidRPr="009411CD">
        <w:rPr>
          <w:rFonts w:eastAsia="標楷體"/>
        </w:rPr>
        <w:t>、</w:t>
      </w:r>
      <w:r w:rsidRPr="009411CD">
        <w:rPr>
          <w:rFonts w:eastAsia="標楷體"/>
        </w:rPr>
        <w:t>3</w:t>
      </w:r>
      <w:r w:rsidRPr="009411CD">
        <w:rPr>
          <w:rFonts w:eastAsia="標楷體"/>
        </w:rPr>
        <w:t>、</w:t>
      </w:r>
      <w:r w:rsidRPr="009411CD">
        <w:rPr>
          <w:rFonts w:eastAsia="標楷體"/>
        </w:rPr>
        <w:t>2</w:t>
      </w:r>
      <w:r w:rsidRPr="009411CD">
        <w:rPr>
          <w:rFonts w:eastAsia="標楷體"/>
        </w:rPr>
        <w:t>與</w:t>
      </w:r>
      <w:r w:rsidRPr="009411CD">
        <w:rPr>
          <w:rFonts w:eastAsia="標楷體"/>
        </w:rPr>
        <w:t>1</w:t>
      </w:r>
      <w:r w:rsidRPr="009411CD">
        <w:rPr>
          <w:rFonts w:eastAsia="標楷體"/>
        </w:rPr>
        <w:t>點。</w:t>
      </w:r>
    </w:p>
    <w:p w:rsidR="005C5FEA" w:rsidRPr="009411CD" w:rsidRDefault="005C5FEA" w:rsidP="005C5FEA">
      <w:pPr>
        <w:numPr>
          <w:ilvl w:val="1"/>
          <w:numId w:val="1"/>
        </w:numPr>
        <w:tabs>
          <w:tab w:val="clear" w:pos="960"/>
        </w:tabs>
        <w:ind w:left="993" w:hanging="284"/>
        <w:jc w:val="both"/>
        <w:rPr>
          <w:rFonts w:eastAsia="標楷體"/>
        </w:rPr>
      </w:pPr>
      <w:r w:rsidRPr="009411CD">
        <w:rPr>
          <w:rFonts w:eastAsia="標楷體"/>
        </w:rPr>
        <w:t>參與國內外公開競賽</w:t>
      </w:r>
      <w:r w:rsidRPr="005E7DA7">
        <w:rPr>
          <w:rFonts w:eastAsia="標楷體" w:hint="eastAsia"/>
        </w:rPr>
        <w:t>表</w:t>
      </w:r>
      <w:r w:rsidRPr="005E7DA7">
        <w:rPr>
          <w:rFonts w:eastAsia="標楷體"/>
        </w:rPr>
        <w:t>現優異</w:t>
      </w:r>
      <w:r w:rsidRPr="00543654">
        <w:rPr>
          <w:rFonts w:eastAsia="標楷體" w:hint="eastAsia"/>
        </w:rPr>
        <w:t>，</w:t>
      </w:r>
      <w:r w:rsidRPr="00543654">
        <w:rPr>
          <w:rFonts w:eastAsia="標楷體"/>
        </w:rPr>
        <w:t>經</w:t>
      </w:r>
      <w:r w:rsidRPr="009411CD">
        <w:rPr>
          <w:rFonts w:eastAsia="標楷體"/>
        </w:rPr>
        <w:t>審查通過者，每一競賽活動獎勵獎助學金</w:t>
      </w:r>
      <w:r w:rsidRPr="009411CD">
        <w:rPr>
          <w:rFonts w:eastAsia="標楷體"/>
        </w:rPr>
        <w:t>1</w:t>
      </w:r>
      <w:r w:rsidRPr="009411CD">
        <w:rPr>
          <w:rFonts w:eastAsia="標楷體"/>
        </w:rPr>
        <w:t>至</w:t>
      </w:r>
      <w:r w:rsidRPr="009411CD">
        <w:rPr>
          <w:rFonts w:eastAsia="標楷體"/>
        </w:rPr>
        <w:t>6</w:t>
      </w:r>
      <w:r w:rsidRPr="009411CD">
        <w:rPr>
          <w:rFonts w:eastAsia="標楷體"/>
        </w:rPr>
        <w:t>點。</w:t>
      </w:r>
    </w:p>
    <w:p w:rsidR="005C5FEA" w:rsidRPr="009411CD" w:rsidRDefault="005C5FEA" w:rsidP="005C5FEA">
      <w:pPr>
        <w:numPr>
          <w:ilvl w:val="1"/>
          <w:numId w:val="1"/>
        </w:numPr>
        <w:tabs>
          <w:tab w:val="clear" w:pos="960"/>
        </w:tabs>
        <w:ind w:left="993" w:hanging="284"/>
        <w:jc w:val="both"/>
        <w:rPr>
          <w:rFonts w:eastAsia="標楷體"/>
        </w:rPr>
      </w:pPr>
      <w:r w:rsidRPr="009411CD">
        <w:rPr>
          <w:rFonts w:eastAsia="標楷體"/>
        </w:rPr>
        <w:t>獎助學金</w:t>
      </w:r>
      <w:r w:rsidRPr="009411CD">
        <w:rPr>
          <w:rFonts w:eastAsia="標楷體"/>
        </w:rPr>
        <w:t>1</w:t>
      </w:r>
      <w:r w:rsidRPr="009411CD">
        <w:rPr>
          <w:rFonts w:eastAsia="標楷體"/>
        </w:rPr>
        <w:t>點以一千元為上限，每學期獎勵總金額以</w:t>
      </w:r>
      <w:r w:rsidRPr="009411CD">
        <w:rPr>
          <w:rFonts w:eastAsia="標楷體"/>
        </w:rPr>
        <w:t>4</w:t>
      </w:r>
      <w:r w:rsidRPr="009411CD">
        <w:rPr>
          <w:rFonts w:eastAsia="標楷體"/>
        </w:rPr>
        <w:t>萬元上限為原則。</w:t>
      </w:r>
    </w:p>
    <w:p w:rsidR="005C5FEA" w:rsidRPr="009411CD" w:rsidRDefault="005C5FEA" w:rsidP="005C5FEA">
      <w:pPr>
        <w:pStyle w:val="Web"/>
        <w:widowControl/>
        <w:numPr>
          <w:ilvl w:val="0"/>
          <w:numId w:val="1"/>
        </w:numPr>
        <w:tabs>
          <w:tab w:val="clear" w:pos="360"/>
          <w:tab w:val="num" w:pos="540"/>
          <w:tab w:val="num" w:pos="3054"/>
        </w:tabs>
        <w:ind w:left="539" w:hanging="539"/>
        <w:jc w:val="both"/>
        <w:rPr>
          <w:rFonts w:eastAsia="標楷體"/>
        </w:rPr>
      </w:pPr>
      <w:r w:rsidRPr="009411CD">
        <w:rPr>
          <w:rFonts w:eastAsia="標楷體"/>
        </w:rPr>
        <w:t>每學期審查一次為原則，</w:t>
      </w:r>
      <w:r w:rsidR="0020584F">
        <w:rPr>
          <w:rFonts w:eastAsia="標楷體"/>
        </w:rPr>
        <w:t>並需在每學期開學後一個月內提</w:t>
      </w:r>
      <w:r w:rsidR="0020584F" w:rsidRPr="0020584F">
        <w:rPr>
          <w:rFonts w:eastAsia="標楷體"/>
          <w:color w:val="000000" w:themeColor="text1"/>
        </w:rPr>
        <w:t>出申請</w:t>
      </w:r>
      <w:r w:rsidR="0020584F" w:rsidRPr="0020584F">
        <w:rPr>
          <w:rFonts w:eastAsia="標楷體" w:hint="eastAsia"/>
          <w:color w:val="000000" w:themeColor="text1"/>
          <w:lang w:eastAsia="zh-HK"/>
        </w:rPr>
        <w:t>，</w:t>
      </w:r>
      <w:r w:rsidRPr="0020584F">
        <w:rPr>
          <w:rFonts w:eastAsia="標楷體" w:hint="eastAsia"/>
          <w:color w:val="000000" w:themeColor="text1"/>
        </w:rPr>
        <w:t>過期不予受理</w:t>
      </w:r>
      <w:r w:rsidRPr="0020584F">
        <w:rPr>
          <w:rFonts w:eastAsia="標楷體"/>
          <w:color w:val="000000" w:themeColor="text1"/>
        </w:rPr>
        <w:t>。</w:t>
      </w:r>
    </w:p>
    <w:p w:rsidR="00472A06" w:rsidRPr="005C5FEA" w:rsidRDefault="005C5FEA" w:rsidP="005C5FEA">
      <w:pPr>
        <w:pStyle w:val="Web"/>
        <w:widowControl/>
        <w:numPr>
          <w:ilvl w:val="0"/>
          <w:numId w:val="1"/>
        </w:numPr>
        <w:tabs>
          <w:tab w:val="clear" w:pos="360"/>
          <w:tab w:val="num" w:pos="540"/>
          <w:tab w:val="num" w:pos="3054"/>
        </w:tabs>
        <w:ind w:left="539" w:hanging="539"/>
        <w:jc w:val="both"/>
        <w:rPr>
          <w:rFonts w:eastAsia="標楷體"/>
        </w:rPr>
      </w:pPr>
      <w:r w:rsidRPr="009411CD">
        <w:rPr>
          <w:rFonts w:eastAsia="標楷體"/>
        </w:rPr>
        <w:t>本辦法由「</w:t>
      </w:r>
      <w:r w:rsidRPr="009411CD">
        <w:rPr>
          <w:rFonts w:eastAsia="標楷體"/>
          <w:color w:val="000000"/>
        </w:rPr>
        <w:t>經費稽核委員會」</w:t>
      </w:r>
      <w:r w:rsidRPr="009411CD">
        <w:rPr>
          <w:rFonts w:eastAsia="標楷體"/>
        </w:rPr>
        <w:t>擬訂，經系務會議通過後實施，修正時亦同</w:t>
      </w:r>
      <w:r>
        <w:rPr>
          <w:rFonts w:eastAsia="標楷體" w:hint="eastAsia"/>
        </w:rPr>
        <w:t>。</w:t>
      </w:r>
    </w:p>
    <w:sectPr w:rsidR="00472A06" w:rsidRPr="005C5FEA" w:rsidSect="005C5FEA">
      <w:pgSz w:w="11906" w:h="16838" w:code="9"/>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05E2"/>
    <w:multiLevelType w:val="hybridMultilevel"/>
    <w:tmpl w:val="D47ACAD4"/>
    <w:lvl w:ilvl="0" w:tplc="0B925E82">
      <w:start w:val="1"/>
      <w:numFmt w:val="taiwaneseCountingThousand"/>
      <w:lvlText w:val="%1、"/>
      <w:lvlJc w:val="left"/>
      <w:pPr>
        <w:tabs>
          <w:tab w:val="num" w:pos="360"/>
        </w:tabs>
        <w:ind w:left="360" w:hanging="360"/>
      </w:pPr>
      <w:rPr>
        <w:rFonts w:hint="default"/>
      </w:rPr>
    </w:lvl>
    <w:lvl w:ilvl="1" w:tplc="5CFA52E2">
      <w:start w:val="1"/>
      <w:numFmt w:val="decimal"/>
      <w:lvlText w:val="%2."/>
      <w:lvlJc w:val="left"/>
      <w:pPr>
        <w:tabs>
          <w:tab w:val="num" w:pos="960"/>
        </w:tabs>
        <w:ind w:left="960" w:hanging="480"/>
      </w:pPr>
      <w:rPr>
        <w:rFonts w:hint="eastAsia"/>
      </w:rPr>
    </w:lvl>
    <w:lvl w:ilvl="2" w:tplc="82C671AA">
      <w:start w:val="1"/>
      <w:numFmt w:val="decimal"/>
      <w:lvlText w:val="%3."/>
      <w:lvlJc w:val="left"/>
      <w:pPr>
        <w:tabs>
          <w:tab w:val="num" w:pos="1440"/>
        </w:tabs>
        <w:ind w:left="1440" w:hanging="480"/>
      </w:pPr>
      <w:rPr>
        <w:rFonts w:hint="eastAsia"/>
      </w:rPr>
    </w:lvl>
    <w:lvl w:ilvl="3" w:tplc="7C5C44D0">
      <w:start w:val="1"/>
      <w:numFmt w:val="taiwaneseCountingThousand"/>
      <w:lvlText w:val="（%4）"/>
      <w:lvlJc w:val="left"/>
      <w:pPr>
        <w:tabs>
          <w:tab w:val="num" w:pos="2160"/>
        </w:tabs>
        <w:ind w:left="2160" w:hanging="720"/>
      </w:pPr>
      <w:rPr>
        <w:rFonts w:hint="default"/>
        <w:color w:val="00000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EA"/>
    <w:rsid w:val="0020584F"/>
    <w:rsid w:val="00581DF6"/>
    <w:rsid w:val="005C5FEA"/>
    <w:rsid w:val="007007F9"/>
    <w:rsid w:val="00936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C5FEA"/>
  </w:style>
  <w:style w:type="character" w:styleId="a3">
    <w:name w:val="Strong"/>
    <w:qFormat/>
    <w:rsid w:val="005C5F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C5FEA"/>
  </w:style>
  <w:style w:type="character" w:styleId="a3">
    <w:name w:val="Strong"/>
    <w:qFormat/>
    <w:rsid w:val="005C5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Company>USER</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csie office</dc:creator>
  <cp:lastModifiedBy>USER</cp:lastModifiedBy>
  <cp:revision>3</cp:revision>
  <dcterms:created xsi:type="dcterms:W3CDTF">2016-12-23T08:33:00Z</dcterms:created>
  <dcterms:modified xsi:type="dcterms:W3CDTF">2016-12-23T08:34:00Z</dcterms:modified>
</cp:coreProperties>
</file>